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2088000" cy="570938"/>
            <wp:docPr id="1" name="Picture 1"/>
            <wp:cNvGraphicFramePr>
              <a:graphicFrameLocks noChangeAspect="1"/>
            </wp:cNvGraphicFramePr>
            <a:graphic>
              <a:graphicData uri="http://schemas.openxmlformats.org/drawingml/2006/picture">
                <pic:pic>
                  <pic:nvPicPr>
                    <pic:cNvPr id="0" name="erpgenex-logo.png"/>
                    <pic:cNvPicPr/>
                  </pic:nvPicPr>
                  <pic:blipFill>
                    <a:blip r:embed="rId11"/>
                    <a:stretch>
                      <a:fillRect/>
                    </a:stretch>
                  </pic:blipFill>
                  <pic:spPr>
                    <a:xfrm>
                      <a:off x="0" y="0"/>
                      <a:ext cx="2088000" cy="570938"/>
                    </a:xfrm>
                    <a:prstGeom prst="rect"/>
                  </pic:spPr>
                </pic:pic>
              </a:graphicData>
            </a:graphic>
          </wp:inline>
        </w:drawing>
      </w:r>
    </w:p>
    <w:tbl>
      <w:tblPr>
        <w:tblW w:type="auto" w:w="0"/>
        <w:tblLook w:firstColumn="1" w:firstRow="1" w:lastColumn="0" w:lastRow="0" w:noHBand="0" w:noVBand="1" w:val="04A0"/>
        <w:bidiVisual/>
        <w:tblBorders>
          <w:top w:val="single" w:sz="6" w:color="0B3D6F"/>
          <w:left w:val="single" w:sz="6" w:color="0B3D6F"/>
          <w:bottom w:val="single" w:sz="6" w:color="0B3D6F"/>
          <w:right w:val="single" w:sz="6" w:color="0B3D6F"/>
          <w:insideH w:val="single" w:sz="6" w:color="0B3D6F"/>
          <w:insideV w:val="single" w:sz="6" w:color="0B3D6F"/>
        </w:tblBorders>
      </w:tblPr>
      <w:tblGrid>
        <w:gridCol w:w="4986"/>
        <w:gridCol w:w="4986"/>
      </w:tblGrid>
      <w:tr>
        <w:tc>
          <w:tcPr>
            <w:tcW w:type="dxa" w:w="4986"/>
            <w:shd w:val="clear" w:color="auto" w:fill="0B3D6F"/>
            <w:bidiVisual/>
          </w:tcPr>
          <w:p>
            <w:pPr>
              <w:bidi w:val="1"/>
              <w:bidi w:val="1"/>
              <w:jc w:val="right"/>
              <w:jc w:val="right"/>
            </w:pPr>
            <w:r>
              <w:rPr>
                <w:rFonts w:ascii="Calibri" w:hAnsi="Calibri" w:cs="Traditional Arabic" w:rtl="Traditional Arabic"/>
                <w:b/>
                <w:color w:val="FFFFFF"/>
                <w:sz w:val="22"/>
              </w:rPr>
              <w:t>رمز المستند</w:t>
            </w:r>
          </w:p>
        </w:tc>
        <w:tc>
          <w:tcPr>
            <w:tcW w:type="dxa" w:w="4986"/>
            <w:shd w:val="clear" w:color="auto" w:fill="F7F5F0"/>
            <w:bidiVisual/>
          </w:tcPr>
          <w:p>
            <w:pPr>
              <w:bidi w:val="1"/>
              <w:bidi w:val="1"/>
              <w:jc w:val="right"/>
              <w:jc w:val="right"/>
            </w:pPr>
            <w:r>
              <w:rPr>
                <w:rFonts w:ascii="Calibri" w:hAnsi="Calibri" w:cs="Traditional Arabic" w:rtl="Traditional Arabic"/>
                <w:b/>
                <w:color w:val="1E1E1E"/>
                <w:sz w:val="22"/>
              </w:rPr>
              <w:t>FEA-001</w:t>
            </w:r>
          </w:p>
        </w:tc>
      </w:tr>
      <w:tr>
        <w:tc>
          <w:tcPr>
            <w:tcW w:type="dxa" w:w="4986"/>
            <w:shd w:val="clear" w:color="auto" w:fill="0B3D6F"/>
            <w:bidiVisual/>
          </w:tcPr>
          <w:p>
            <w:pPr>
              <w:bidi w:val="1"/>
              <w:bidi w:val="1"/>
              <w:jc w:val="right"/>
              <w:jc w:val="right"/>
            </w:pPr>
            <w:r>
              <w:rPr>
                <w:rFonts w:ascii="Calibri" w:hAnsi="Calibri" w:cs="Traditional Arabic" w:rtl="Traditional Arabic"/>
                <w:b/>
                <w:color w:val="FFFFFF"/>
                <w:sz w:val="22"/>
              </w:rPr>
              <w:t>الإصدار</w:t>
            </w:r>
          </w:p>
        </w:tc>
        <w:tc>
          <w:tcPr>
            <w:tcW w:type="dxa" w:w="4986"/>
            <w:shd w:val="clear" w:color="auto" w:fill="F7F5F0"/>
            <w:bidiVisual/>
          </w:tcPr>
          <w:p>
            <w:pPr>
              <w:bidi w:val="1"/>
              <w:bidi w:val="1"/>
              <w:jc w:val="right"/>
              <w:jc w:val="right"/>
            </w:pPr>
            <w:r>
              <w:rPr>
                <w:rFonts w:ascii="Calibri" w:hAnsi="Calibri" w:cs="Traditional Arabic" w:rtl="Traditional Arabic"/>
                <w:b w:val="0"/>
                <w:color w:val="1E1E1E"/>
                <w:sz w:val="22"/>
              </w:rPr>
              <w:t>1.0</w:t>
            </w:r>
          </w:p>
        </w:tc>
      </w:tr>
      <w:tr>
        <w:tc>
          <w:tcPr>
            <w:tcW w:type="dxa" w:w="4986"/>
            <w:shd w:val="clear" w:color="auto" w:fill="0B3D6F"/>
            <w:bidiVisual/>
          </w:tcPr>
          <w:p>
            <w:pPr>
              <w:bidi w:val="1"/>
              <w:bidi w:val="1"/>
              <w:jc w:val="right"/>
              <w:jc w:val="right"/>
            </w:pPr>
            <w:r>
              <w:rPr>
                <w:rFonts w:ascii="Calibri" w:hAnsi="Calibri" w:cs="Traditional Arabic" w:rtl="Traditional Arabic"/>
                <w:b/>
                <w:color w:val="FFFFFF"/>
                <w:sz w:val="22"/>
              </w:rPr>
              <w:t>تاريخ الإصدار</w:t>
            </w:r>
          </w:p>
        </w:tc>
        <w:tc>
          <w:tcPr>
            <w:tcW w:type="dxa" w:w="4986"/>
            <w:shd w:val="clear" w:color="auto" w:fill="F7F5F0"/>
            <w:bidiVisual/>
          </w:tcPr>
          <w:p>
            <w:pPr>
              <w:bidi w:val="1"/>
              <w:bidi w:val="1"/>
              <w:jc w:val="right"/>
              <w:jc w:val="right"/>
            </w:pPr>
            <w:r>
              <w:rPr>
                <w:rFonts w:ascii="Calibri" w:hAnsi="Calibri" w:cs="Traditional Arabic" w:rtl="Traditional Arabic"/>
                <w:b w:val="0"/>
                <w:color w:val="1E1E1E"/>
                <w:sz w:val="22"/>
              </w:rPr>
              <w:t>2026-09-21</w:t>
            </w:r>
          </w:p>
        </w:tc>
      </w:tr>
      <w:tr>
        <w:tc>
          <w:tcPr>
            <w:tcW w:type="dxa" w:w="4986"/>
            <w:shd w:val="clear" w:color="auto" w:fill="0B3D6F"/>
            <w:bidiVisual/>
          </w:tcPr>
          <w:p>
            <w:pPr>
              <w:bidi w:val="1"/>
              <w:bidi w:val="1"/>
              <w:jc w:val="right"/>
              <w:jc w:val="right"/>
            </w:pPr>
            <w:r>
              <w:rPr>
                <w:rFonts w:ascii="Calibri" w:hAnsi="Calibri" w:cs="Traditional Arabic" w:rtl="Traditional Arabic"/>
                <w:b/>
                <w:color w:val="FFFFFF"/>
                <w:sz w:val="22"/>
              </w:rPr>
              <w:t>التصنيف</w:t>
            </w:r>
          </w:p>
        </w:tc>
        <w:tc>
          <w:tcPr>
            <w:tcW w:type="dxa" w:w="4986"/>
            <w:shd w:val="clear" w:color="auto" w:fill="F7F5F0"/>
            <w:bidiVisual/>
          </w:tcPr>
          <w:p>
            <w:pPr>
              <w:bidi w:val="1"/>
              <w:bidi w:val="1"/>
              <w:jc w:val="right"/>
              <w:jc w:val="right"/>
            </w:pPr>
            <w:r>
              <w:rPr>
                <w:rFonts w:ascii="Calibri" w:hAnsi="Calibri" w:cs="Traditional Arabic" w:rtl="Traditional Arabic"/>
                <w:b w:val="0"/>
                <w:color w:val="1E1E1E"/>
                <w:sz w:val="22"/>
              </w:rPr>
              <w:t>مسودة — داخلية / للتوقيع بعد المراجعة</w:t>
            </w:r>
          </w:p>
        </w:tc>
      </w:tr>
    </w:tbl>
    <w:p/>
    <w:p>
      <w:pPr>
        <w:bidi w:val="1"/>
        <w:spacing w:before="160" w:after="160"/>
        <w:jc w:val="right"/>
      </w:pPr>
      <w:r>
        <w:rPr>
          <w:rFonts w:ascii="Calibri" w:hAnsi="Calibri" w:cs="Traditional Arabic" w:rtl="Traditional Arabic"/>
          <w:b/>
          <w:color w:val="0B3D6F"/>
          <w:sz w:val="44"/>
        </w:rPr>
        <w:t>ERPGenEx + Microhard</w:t>
      </w:r>
    </w:p>
    <w:p>
      <w:pPr>
        <w:bidi w:val="1"/>
        <w:spacing w:line="348" w:lineRule="auto" w:after="120"/>
        <w:ind w:firstLine="198"/>
        <w:jc w:val="both"/>
      </w:pPr>
      <w:r>
        <w:rPr>
          <w:rFonts w:ascii="Calibri" w:hAnsi="Calibri" w:cs="Traditional Arabic" w:rtl="Traditional Arabic"/>
          <w:b w:val="0"/>
          <w:color w:val="1E1E1E"/>
          <w:sz w:val="24"/>
        </w:rPr>
        <w:t>برنامج شركاء ووكلاء ERPGenEx وMicrohard — المملكة العربية السعودية</w:t>
      </w:r>
    </w:p>
    <w:p/>
    <w:p>
      <w:pPr>
        <w:bidi w:val="1"/>
        <w:spacing w:after="240"/>
        <w:jc w:val="right"/>
        <w:pBdr>
          <w:bottom w:val="single" w:sz="12" w:color="8A6D3B" w:space="4"/>
        </w:pBdr>
      </w:pPr>
    </w:p>
    <w:p>
      <w:pPr>
        <w:bidi w:val="1"/>
        <w:spacing w:before="160" w:after="160"/>
        <w:jc w:val="right"/>
      </w:pPr>
      <w:r>
        <w:rPr>
          <w:rFonts w:ascii="Calibri" w:hAnsi="Calibri" w:cs="Traditional Arabic" w:rtl="Traditional Arabic"/>
          <w:b/>
          <w:color w:val="0B3D6F"/>
          <w:sz w:val="44"/>
        </w:rPr>
        <w:t>ملخص جدوى وكيل التسويق</w:t>
      </w:r>
    </w:p>
    <w:p>
      <w:pPr>
        <w:bidi w:val="1"/>
        <w:spacing w:line="348" w:lineRule="auto" w:after="120"/>
        <w:ind w:firstLine="198"/>
        <w:jc w:val="both"/>
      </w:pPr>
      <w:r>
        <w:rPr>
          <w:rFonts w:ascii="Calibri" w:hAnsi="Calibri" w:cs="Traditional Arabic" w:rtl="Traditional Arabic"/>
          <w:b w:val="0"/>
          <w:color w:val="1E1E1E"/>
          <w:sz w:val="24"/>
        </w:rPr>
        <w:t>تقدير مالي — مدخلات الوكيل</w:t>
      </w:r>
    </w:p>
    <w:p/>
    <w:p>
      <w:pPr>
        <w:bidi w:val="1"/>
        <w:spacing w:after="240"/>
        <w:jc w:val="right"/>
        <w:pBdr>
          <w:bottom w:val="single" w:sz="12" w:color="8A6D3B" w:space="4"/>
        </w:pBdr>
      </w:pPr>
    </w:p>
    <w:p>
      <w:pPr>
        <w:bidi w:val="1"/>
        <w:spacing w:line="348" w:lineRule="auto" w:after="120"/>
        <w:ind w:firstLine="0"/>
        <w:jc w:val="both"/>
      </w:pPr>
      <w:r>
        <w:rPr>
          <w:rFonts w:ascii="Calibri" w:hAnsi="Calibri" w:cs="Traditional Arabic" w:rtl="Traditional Arabic"/>
          <w:b/>
          <w:color w:val="1E1E1E"/>
          <w:sz w:val="26"/>
        </w:rPr>
        <w:t>تنبيه: هذه الوثيقة مسودة تشغيلية استرشادية (بنفس روح نماذج منشآت ومتطلبات نظام الوكالات التجارية). يجب مراجعتها وتدقيقها من مستشار قانوني مرخّص في المملكة قبل التوقيع أو التسجيل لدى وزارة التجارة أو الجهات ذات العلاقة.</w:t>
      </w:r>
    </w:p>
    <w:p>
      <w:r>
        <w:br w:type="page"/>
      </w:r>
    </w:p>
    <w:p>
      <w:pPr>
        <w:bidi w:val="1"/>
        <w:spacing w:line="348" w:lineRule="auto" w:after="120"/>
        <w:ind w:firstLine="0"/>
        <w:jc w:val="both"/>
      </w:pPr>
      <w:r>
        <w:rPr>
          <w:rFonts w:ascii="Calibri" w:hAnsi="Calibri" w:cs="Traditional Arabic" w:rtl="Traditional Arabic"/>
          <w:b/>
          <w:color w:val="1E1E1E"/>
          <w:sz w:val="26"/>
        </w:rPr>
        <w:t>حد أدنى برنامج: 24,000 ر.س. نموذج عمولة: 40% من المبيعات المُحصَّلة.</w:t>
      </w:r>
    </w:p>
    <w:p/>
    <w:p>
      <w:pPr>
        <w:bidi w:val="1"/>
        <w:spacing w:before="280" w:after="160"/>
        <w:jc w:val="right"/>
        <w:pBdr>
          <w:bottom w:val="single" w:sz="6" w:color="E8EEF4" w:space="2"/>
        </w:pBdr>
      </w:pPr>
      <w:r>
        <w:rPr>
          <w:rFonts w:ascii="Calibri" w:hAnsi="Calibri" w:cs="Traditional Arabic" w:rtl="Traditional Arabic"/>
          <w:b/>
          <w:color w:val="0B3D6F"/>
          <w:sz w:val="32"/>
        </w:rPr>
        <w:t>البند (1): افتراضات النموذج</w:t>
      </w:r>
    </w:p>
    <w:p>
      <w:pPr>
        <w:bidi w:val="1"/>
        <w:spacing w:line="348" w:lineRule="auto" w:after="100"/>
        <w:jc w:val="both"/>
      </w:pPr>
      <w:r>
        <w:rPr>
          <w:rFonts w:ascii="Calibri" w:hAnsi="Calibri" w:cs="Traditional Arabic" w:rtl="Traditional Arabic"/>
          <w:b/>
          <w:color w:val="0B3D6F"/>
          <w:sz w:val="24"/>
        </w:rPr>
        <w:t xml:space="preserve">1. </w:t>
      </w:r>
      <w:r>
        <w:rPr>
          <w:rFonts w:ascii="Calibri" w:hAnsi="Calibri" w:cs="Traditional Arabic" w:rtl="Traditional Arabic"/>
          <w:b w:val="0"/>
          <w:color w:val="1E1E1E"/>
          <w:sz w:val="24"/>
        </w:rPr>
        <w:t>وكيل تسويق وتحصيل — لا تكلفة تنفيذ أو استضافة على الوكيل.</w:t>
      </w:r>
    </w:p>
    <w:p>
      <w:pPr>
        <w:bidi w:val="1"/>
        <w:spacing w:line="348" w:lineRule="auto" w:after="100"/>
        <w:jc w:val="both"/>
      </w:pPr>
      <w:r>
        <w:rPr>
          <w:rFonts w:ascii="Calibri" w:hAnsi="Calibri" w:cs="Traditional Arabic" w:rtl="Traditional Arabic"/>
          <w:b/>
          <w:color w:val="0B3D6F"/>
          <w:sz w:val="24"/>
        </w:rPr>
        <w:t xml:space="preserve">2. </w:t>
      </w:r>
      <w:r>
        <w:rPr>
          <w:rFonts w:ascii="Calibri" w:hAnsi="Calibri" w:cs="Traditional Arabic" w:rtl="Traditional Arabic"/>
          <w:b w:val="0"/>
          <w:color w:val="1E1E1E"/>
          <w:sz w:val="24"/>
        </w:rPr>
        <w:t>عمولة مرجعية 40% من المبيعات المحصّلة.</w:t>
      </w:r>
    </w:p>
    <w:p>
      <w:pPr>
        <w:bidi w:val="1"/>
        <w:spacing w:line="348" w:lineRule="auto" w:after="100"/>
        <w:jc w:val="both"/>
      </w:pPr>
      <w:r>
        <w:rPr>
          <w:rFonts w:ascii="Calibri" w:hAnsi="Calibri" w:cs="Traditional Arabic" w:rtl="Traditional Arabic"/>
          <w:b/>
          <w:color w:val="0B3D6F"/>
          <w:sz w:val="24"/>
        </w:rPr>
        <w:t xml:space="preserve">3. </w:t>
      </w:r>
      <w:r>
        <w:rPr>
          <w:rFonts w:ascii="Calibri" w:hAnsi="Calibri" w:cs="Traditional Arabic" w:rtl="Traditional Arabic"/>
          <w:b w:val="0"/>
          <w:color w:val="1E1E1E"/>
          <w:sz w:val="24"/>
        </w:rPr>
        <w:t>الأرقام تقديرية — استخدم حاسبة الموقع للسيناريوهات.</w:t>
      </w:r>
    </w:p>
    <w:p/>
    <w:p>
      <w:pPr>
        <w:bidi w:val="1"/>
        <w:spacing w:before="280" w:after="160"/>
        <w:jc w:val="right"/>
        <w:pBdr>
          <w:bottom w:val="single" w:sz="6" w:color="E8EEF4" w:space="2"/>
        </w:pBdr>
      </w:pPr>
      <w:r>
        <w:rPr>
          <w:rFonts w:ascii="Calibri" w:hAnsi="Calibri" w:cs="Traditional Arabic" w:rtl="Traditional Arabic"/>
          <w:b/>
          <w:color w:val="0B3D6F"/>
          <w:sz w:val="32"/>
        </w:rPr>
        <w:t>البند (2): تكاليف تشغيل شهرية (نموذج)</w:t>
      </w:r>
    </w:p>
    <w:p>
      <w:pPr>
        <w:bidi w:val="1"/>
        <w:spacing w:line="348" w:lineRule="auto" w:after="100"/>
        <w:jc w:val="both"/>
      </w:pPr>
      <w:r>
        <w:rPr>
          <w:rFonts w:ascii="Calibri" w:hAnsi="Calibri" w:cs="Traditional Arabic" w:rtl="Traditional Arabic"/>
          <w:b/>
          <w:color w:val="0B3D6F"/>
          <w:sz w:val="24"/>
        </w:rPr>
        <w:t xml:space="preserve">1. </w:t>
      </w:r>
      <w:r>
        <w:rPr>
          <w:rFonts w:ascii="Calibri" w:hAnsi="Calibri" w:cs="Traditional Arabic" w:rtl="Traditional Arabic"/>
          <w:b w:val="0"/>
          <w:color w:val="1E1E1E"/>
          <w:sz w:val="24"/>
        </w:rPr>
        <w:t>راتب موظف مبيعات/متابعة: 2,000 ر.س.</w:t>
      </w:r>
    </w:p>
    <w:p>
      <w:pPr>
        <w:bidi w:val="1"/>
        <w:spacing w:line="348" w:lineRule="auto" w:after="100"/>
        <w:jc w:val="both"/>
      </w:pPr>
      <w:r>
        <w:rPr>
          <w:rFonts w:ascii="Calibri" w:hAnsi="Calibri" w:cs="Traditional Arabic" w:rtl="Traditional Arabic"/>
          <w:b/>
          <w:color w:val="0B3D6F"/>
          <w:sz w:val="24"/>
        </w:rPr>
        <w:t xml:space="preserve">2. </w:t>
      </w:r>
      <w:r>
        <w:rPr>
          <w:rFonts w:ascii="Calibri" w:hAnsi="Calibri" w:cs="Traditional Arabic" w:rtl="Traditional Arabic"/>
          <w:b w:val="0"/>
          <w:color w:val="1E1E1E"/>
          <w:sz w:val="24"/>
        </w:rPr>
        <w:t>إيجار مقر / مكتب مشترك: من 600 ر.س.</w:t>
      </w:r>
    </w:p>
    <w:p>
      <w:pPr>
        <w:bidi w:val="1"/>
        <w:spacing w:line="348" w:lineRule="auto" w:after="100"/>
        <w:jc w:val="both"/>
      </w:pPr>
      <w:r>
        <w:rPr>
          <w:rFonts w:ascii="Calibri" w:hAnsi="Calibri" w:cs="Traditional Arabic" w:rtl="Traditional Arabic"/>
          <w:b/>
          <w:color w:val="0B3D6F"/>
          <w:sz w:val="24"/>
        </w:rPr>
        <w:t xml:space="preserve">3. </w:t>
      </w:r>
      <w:r>
        <w:rPr>
          <w:rFonts w:ascii="Calibri" w:hAnsi="Calibri" w:cs="Traditional Arabic" w:rtl="Traditional Arabic"/>
          <w:b w:val="0"/>
          <w:color w:val="1E1E1E"/>
          <w:sz w:val="24"/>
        </w:rPr>
        <w:t>اتصالات وتسويق: حسب الخطة.</w:t>
      </w:r>
    </w:p>
    <w:p>
      <w:pPr>
        <w:bidi w:val="1"/>
        <w:spacing w:line="348" w:lineRule="auto" w:after="100"/>
        <w:jc w:val="both"/>
      </w:pPr>
      <w:r>
        <w:rPr>
          <w:rFonts w:ascii="Calibri" w:hAnsi="Calibri" w:cs="Traditional Arabic" w:rtl="Traditional Arabic"/>
          <w:b/>
          <w:color w:val="0B3D6F"/>
          <w:sz w:val="24"/>
        </w:rPr>
        <w:t xml:space="preserve">4. </w:t>
      </w:r>
      <w:r>
        <w:rPr>
          <w:rFonts w:ascii="Calibri" w:hAnsi="Calibri" w:cs="Traditional Arabic" w:rtl="Traditional Arabic"/>
          <w:b w:val="0"/>
          <w:color w:val="1E1E1E"/>
          <w:sz w:val="24"/>
        </w:rPr>
        <w:t>نصيب سنوي من السجل: ~167 ر.س/شهر (2,000 ÷ 12).</w:t>
      </w:r>
    </w:p>
    <w:p/>
    <w:p>
      <w:pPr>
        <w:bidi w:val="1"/>
        <w:spacing w:before="280" w:after="160"/>
        <w:jc w:val="right"/>
        <w:pBdr>
          <w:bottom w:val="single" w:sz="6" w:color="E8EEF4" w:space="2"/>
        </w:pBdr>
      </w:pPr>
      <w:r>
        <w:rPr>
          <w:rFonts w:ascii="Calibri" w:hAnsi="Calibri" w:cs="Traditional Arabic" w:rtl="Traditional Arabic"/>
          <w:b/>
          <w:color w:val="0B3D6F"/>
          <w:sz w:val="32"/>
        </w:rPr>
        <w:t>البند (3): مثال إيراد (توضيحي)</w:t>
      </w:r>
    </w:p>
    <w:p>
      <w:pPr>
        <w:bidi w:val="1"/>
        <w:spacing w:line="348" w:lineRule="auto" w:after="100"/>
        <w:jc w:val="both"/>
      </w:pPr>
      <w:r>
        <w:rPr>
          <w:rFonts w:ascii="Calibri" w:hAnsi="Calibri" w:cs="Traditional Arabic" w:rtl="Traditional Arabic"/>
          <w:b/>
          <w:color w:val="0B3D6F"/>
          <w:sz w:val="24"/>
        </w:rPr>
        <w:t xml:space="preserve">1. </w:t>
      </w:r>
      <w:r>
        <w:rPr>
          <w:rFonts w:ascii="Calibri" w:hAnsi="Calibri" w:cs="Traditional Arabic" w:rtl="Traditional Arabic"/>
          <w:b w:val="0"/>
          <w:color w:val="1E1E1E"/>
          <w:sz w:val="24"/>
        </w:rPr>
        <w:t>بيع شهري محصّل 50,000 ر.س → عمولة 20,000 ر.س.</w:t>
      </w:r>
    </w:p>
    <w:p>
      <w:pPr>
        <w:bidi w:val="1"/>
        <w:spacing w:line="348" w:lineRule="auto" w:after="100"/>
        <w:jc w:val="both"/>
      </w:pPr>
      <w:r>
        <w:rPr>
          <w:rFonts w:ascii="Calibri" w:hAnsi="Calibri" w:cs="Traditional Arabic" w:rtl="Traditional Arabic"/>
          <w:b/>
          <w:color w:val="0B3D6F"/>
          <w:sz w:val="24"/>
        </w:rPr>
        <w:t xml:space="preserve">2. </w:t>
      </w:r>
      <w:r>
        <w:rPr>
          <w:rFonts w:ascii="Calibri" w:hAnsi="Calibri" w:cs="Traditional Arabic" w:rtl="Traditional Arabic"/>
          <w:b w:val="0"/>
          <w:color w:val="1E1E1E"/>
          <w:sz w:val="24"/>
        </w:rPr>
        <w:t>بعد تكاليف ~4,000 ر.س → صافي تقريبي 16,000 ر.س (قبل ضريبة وZakat).</w:t>
      </w:r>
    </w:p>
    <w:p/>
    <w:p>
      <w:pPr>
        <w:bidi w:val="1"/>
        <w:spacing w:before="280" w:after="160"/>
        <w:jc w:val="right"/>
        <w:pBdr>
          <w:bottom w:val="single" w:sz="6" w:color="E8EEF4" w:space="2"/>
        </w:pBdr>
      </w:pPr>
      <w:r>
        <w:rPr>
          <w:rFonts w:ascii="Calibri" w:hAnsi="Calibri" w:cs="Traditional Arabic" w:rtl="Traditional Arabic"/>
          <w:b/>
          <w:color w:val="0B3D6F"/>
          <w:sz w:val="32"/>
        </w:rPr>
        <w:t>البند (4): المخاطر</w:t>
      </w:r>
    </w:p>
    <w:p>
      <w:pPr>
        <w:bidi w:val="1"/>
        <w:spacing w:line="348" w:lineRule="auto" w:after="100"/>
        <w:jc w:val="both"/>
      </w:pPr>
      <w:r>
        <w:rPr>
          <w:rFonts w:ascii="Calibri" w:hAnsi="Calibri" w:cs="Traditional Arabic" w:rtl="Traditional Arabic"/>
          <w:b/>
          <w:color w:val="0B3D6F"/>
          <w:sz w:val="24"/>
        </w:rPr>
        <w:t xml:space="preserve">1. </w:t>
      </w:r>
      <w:r>
        <w:rPr>
          <w:rFonts w:ascii="Calibri" w:hAnsi="Calibri" w:cs="Traditional Arabic" w:rtl="Traditional Arabic"/>
          <w:b w:val="0"/>
          <w:color w:val="1E1E1E"/>
          <w:sz w:val="24"/>
        </w:rPr>
        <w:t>تأخر التحصيل يؤخر العمولة.</w:t>
      </w:r>
    </w:p>
    <w:p>
      <w:pPr>
        <w:bidi w:val="1"/>
        <w:spacing w:line="348" w:lineRule="auto" w:after="100"/>
        <w:jc w:val="both"/>
      </w:pPr>
      <w:r>
        <w:rPr>
          <w:rFonts w:ascii="Calibri" w:hAnsi="Calibri" w:cs="Traditional Arabic" w:rtl="Traditional Arabic"/>
          <w:b/>
          <w:color w:val="0B3D6F"/>
          <w:sz w:val="24"/>
        </w:rPr>
        <w:t xml:space="preserve">2. </w:t>
      </w:r>
      <w:r>
        <w:rPr>
          <w:rFonts w:ascii="Calibri" w:hAnsi="Calibri" w:cs="Traditional Arabic" w:rtl="Traditional Arabic"/>
          <w:b w:val="0"/>
          <w:color w:val="1E1E1E"/>
          <w:sz w:val="24"/>
        </w:rPr>
        <w:t>فرص غير مسجّلة لا تُحمى.</w:t>
      </w:r>
    </w:p>
    <w:p>
      <w:pPr>
        <w:bidi w:val="1"/>
        <w:spacing w:line="348" w:lineRule="auto" w:after="100"/>
        <w:jc w:val="both"/>
      </w:pPr>
      <w:r>
        <w:rPr>
          <w:rFonts w:ascii="Calibri" w:hAnsi="Calibri" w:cs="Traditional Arabic" w:rtl="Traditional Arabic"/>
          <w:b/>
          <w:color w:val="0B3D6F"/>
          <w:sz w:val="24"/>
        </w:rPr>
        <w:t xml:space="preserve">3. </w:t>
      </w:r>
      <w:r>
        <w:rPr>
          <w:rFonts w:ascii="Calibri" w:hAnsi="Calibri" w:cs="Traditional Arabic" w:rtl="Traditional Arabic"/>
          <w:b w:val="0"/>
          <w:color w:val="1E1E1E"/>
          <w:sz w:val="24"/>
        </w:rPr>
        <w:t>مراجعة محاسب/مستشار قبل قرار الاستثمار.</w:t>
      </w:r>
    </w:p>
    <w:p/>
    <w:p>
      <w:pPr>
        <w:bidi w:val="1"/>
        <w:spacing w:before="280" w:after="160"/>
        <w:jc w:val="right"/>
        <w:pBdr>
          <w:bottom w:val="single" w:sz="6" w:color="E8EEF4" w:space="2"/>
        </w:pBdr>
      </w:pPr>
      <w:r>
        <w:rPr>
          <w:rFonts w:ascii="Calibri" w:hAnsi="Calibri" w:cs="Traditional Arabic" w:rtl="Traditional Arabic"/>
          <w:b/>
          <w:color w:val="0B3D6F"/>
          <w:sz w:val="32"/>
        </w:rPr>
        <w:t>الخطوة التالية</w:t>
      </w:r>
    </w:p>
    <w:p>
      <w:pPr>
        <w:bidi w:val="1"/>
        <w:spacing w:line="348" w:lineRule="auto" w:after="120"/>
        <w:ind w:firstLine="198"/>
        <w:jc w:val="both"/>
      </w:pPr>
      <w:r>
        <w:rPr>
          <w:rFonts w:ascii="Calibri" w:hAnsi="Calibri" w:cs="Traditional Arabic" w:rtl="Traditional Arabic"/>
          <w:b w:val="0"/>
          <w:color w:val="1E1E1E"/>
          <w:sz w:val="24"/>
        </w:rPr>
        <w:t>استخدم حاسبة الجدوى على موقع أكاديمية الشركاء لإدخال الكميات والأسعار وتقدير صافي الربح الشهري.</w:t>
      </w:r>
    </w:p>
    <w:sectPr w:rsidR="00FC693F" w:rsidRPr="0006063C" w:rsidSect="00034616">
      <w:headerReference w:type="default" r:id="rId9"/>
      <w:footerReference w:type="default" r:id="rId10"/>
      <w:pgSz w:w="12240" w:h="15840"/>
      <w:pgMar w:top="1361" w:right="1134" w:bottom="1247" w:left="1134" w:header="567" w:footer="567" w:gutter="0"/>
      <w:cols w:space="720"/>
      <w:docGrid w:linePitch="360"/>
      <w:bidi w:val="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pStyle w:val="Footer"/>
      <w:jc w:val="right"/>
    </w:pPr>
    <w:r>
      <w:rPr>
        <w:rFonts w:ascii="Calibri" w:hAnsi="Calibri" w:cs="Traditional Arabic" w:rtl="Traditional Arabic"/>
        <w:b w:val="0"/>
        <w:color w:val="5A5A5A"/>
        <w:sz w:val="18"/>
      </w:rPr>
      <w:t>FEA-001  |  إصدار 1.0</w:t>
    </w:r>
    <w:r>
      <w:tab/>
    </w:r>
    <w:r>
      <w:rPr>
        <w:rFonts w:ascii="Calibri" w:hAnsi="Calibri" w:cs="Traditional Arabic" w:rtl="Traditional Arabic"/>
        <w:b w:val="0"/>
        <w:color w:val="8A6D3B"/>
        <w:sz w:val="18"/>
      </w:rPr>
      <w:t>مسودة — للمراجعة القانونية</w:t>
    </w:r>
    <w:r>
      <w:tab/>
    </w:r>
    <w:r>
      <w:rPr>
        <w:rFonts w:ascii="Calibri" w:hAnsi="Calibri" w:cs="Traditional Arabic" w:rtl="Traditional Arabic"/>
        <w:b w:val="0"/>
        <w:color w:val="5A5A5A"/>
        <w:sz w:val="18"/>
      </w:rPr>
      <w:t xml:space="preserve">صفحة </w:t>
    </w:r>
    <w:r>
      <w:fldChar w:fldCharType="begin"/>
    </w:r>
    <w:r>
      <w:instrText xml:space="preserve"> PAGE </w:instrText>
    </w:r>
    <w:r>
      <w:fldChar w:fldCharType="separate"/>
    </w:r>
    <w:r>
      <w:rPr>
        <w:rFonts w:ascii="Calibri" w:hAnsi="Calibri" w:cs="Traditional Arabic" w:rtl="Traditional Arabic"/>
        <w:b w:val="0"/>
        <w:color w:val="5A5A5A"/>
        <w:sz w:val="18"/>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pStyle w:val="Header"/>
      <w:spacing w:after="0"/>
      <w:jc w:val="right"/>
    </w:pPr>
    <w:r>
      <w:drawing>
        <wp:inline xmlns:a="http://schemas.openxmlformats.org/drawingml/2006/main" xmlns:pic="http://schemas.openxmlformats.org/drawingml/2006/picture">
          <wp:extent cx="576000" cy="157500"/>
          <wp:docPr id="1" name="Picture 1"/>
          <wp:cNvGraphicFramePr>
            <a:graphicFrameLocks noChangeAspect="1"/>
          </wp:cNvGraphicFramePr>
          <a:graphic>
            <a:graphicData uri="http://schemas.openxmlformats.org/drawingml/2006/picture">
              <pic:pic>
                <pic:nvPicPr>
                  <pic:cNvPr id="0" name="erpgenex-logo.png"/>
                  <pic:cNvPicPr/>
                </pic:nvPicPr>
                <pic:blipFill>
                  <a:blip r:embed="rId1"/>
                  <a:stretch>
                    <a:fillRect/>
                  </a:stretch>
                </pic:blipFill>
                <pic:spPr>
                  <a:xfrm>
                    <a:off x="0" y="0"/>
                    <a:ext cx="576000" cy="157500"/>
                  </a:xfrm>
                  <a:prstGeom prst="rect"/>
                </pic:spPr>
              </pic:pic>
            </a:graphicData>
          </a:graphic>
        </wp:inline>
      </w:drawing>
    </w:r>
    <w:r>
      <w:rPr>
        <w:rFonts w:ascii="Calibri" w:hAnsi="Calibri" w:cs="Traditional Arabic" w:rtl="Traditional Arabic"/>
        <w:b w:val="0"/>
        <w:color w:val="1E1E1E"/>
        <w:sz w:val="18"/>
      </w:rPr>
      <w:t xml:space="preserve">   </w:t>
    </w:r>
    <w:r>
      <w:rPr>
        <w:rFonts w:ascii="Calibri" w:hAnsi="Calibri" w:cs="Traditional Arabic" w:rtl="Traditional Arabic"/>
        <w:b/>
        <w:color w:val="0B3D6F"/>
        <w:sz w:val="18"/>
      </w:rPr>
      <w:t>ERPGenEx + Microhard</w:t>
      <w:tab/>
    </w:r>
    <w:r>
      <w:rPr>
        <w:rFonts w:ascii="Calibri" w:hAnsi="Calibri" w:cs="Traditional Arabic" w:rtl="Traditional Arabic"/>
        <w:b w:val="0"/>
        <w:color w:val="5A5A5A"/>
        <w:sz w:val="18"/>
      </w:rPr>
      <w:t>ملخص جدوى وكيل التسويق</w:t>
    </w:r>
  </w:p>
  <w:p>
    <w:pPr>
      <w:bidi w:val="1"/>
      <w:jc w:val="right"/>
      <w:pBdr>
        <w:bottom w:val="single" w:sz="4" w:color="0B3D6F"/>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